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Engravers MT" w:cs="Engravers MT" w:eastAsia="Engravers MT" w:hAnsi="Engravers MT"/>
          <w:b w:val="0"/>
          <w:color w:val="365f91"/>
          <w:sz w:val="36"/>
          <w:szCs w:val="36"/>
          <w:vertAlign w:val="baseline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365f91"/>
          <w:sz w:val="36"/>
          <w:szCs w:val="36"/>
          <w:rtl w:val="0"/>
        </w:rPr>
        <w:t xml:space="preserve">Reunión Anual de Padres de Título</w:t>
      </w:r>
      <w:r w:rsidDel="00000000" w:rsidR="00000000" w:rsidRPr="00000000">
        <w:rPr>
          <w:rFonts w:ascii="Engravers MT" w:cs="Engravers MT" w:eastAsia="Engravers MT" w:hAnsi="Engravers MT"/>
          <w:b w:val="1"/>
          <w:color w:val="365f91"/>
          <w:sz w:val="36"/>
          <w:szCs w:val="36"/>
          <w:vertAlign w:val="baseline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i w:val="1"/>
          <w:color w:val="1c458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c4587"/>
          <w:sz w:val="24"/>
          <w:szCs w:val="24"/>
          <w:rtl w:val="0"/>
        </w:rPr>
        <w:t xml:space="preserve">Se llevará a cabo en la Noche de Casa Abierta de cada escuela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b w:val="1"/>
          <w:color w:val="bf9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24"/>
          <w:szCs w:val="24"/>
          <w:rtl w:val="0"/>
        </w:rPr>
        <w:t xml:space="preserve">Escuelas 4 y 5: 9/17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b w:val="1"/>
          <w:color w:val="bf9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24"/>
          <w:szCs w:val="24"/>
          <w:rtl w:val="0"/>
        </w:rPr>
        <w:t xml:space="preserve">Escuela intermedia: 9/19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Arial" w:cs="Arial" w:eastAsia="Arial" w:hAnsi="Arial"/>
          <w:b w:val="1"/>
          <w:color w:val="bf9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24"/>
          <w:szCs w:val="24"/>
          <w:rtl w:val="0"/>
        </w:rPr>
        <w:t xml:space="preserve">Escuela secundaria: 9/26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Favor de participar en nuestra sesión general de información para padres sobre el Título I, Parte A del Acto Educativo Elemental y Secundario (ESSA). Título I es un programa federal que da recursos a distritos escolares locales para mejorar el progreso académico de estudiantes con poco rendimiento académico en Lectura y/o Matemáticas. Las Escuelas del Distrito de Lindenwold mantienen el Programa de Título I en todos los grados de K-12. Por esta razón, todos nuestros estudiantes, incluyendo su hija/o, se benefician de la ayuda adicional en una o ambas áreas. La invitación para esta sesión de información es para usted y todos los padres y </w:t>
      </w:r>
      <w:r w:rsidDel="00000000" w:rsidR="00000000" w:rsidRPr="00000000">
        <w:rPr>
          <w:i w:val="1"/>
          <w:rtl w:val="0"/>
        </w:rPr>
        <w:t xml:space="preserve">no indica</w:t>
      </w:r>
      <w:r w:rsidDel="00000000" w:rsidR="00000000" w:rsidRPr="00000000">
        <w:rPr>
          <w:rtl w:val="0"/>
        </w:rPr>
        <w:t xml:space="preserve"> que su hija/o está identificado para un programa instructivo especial.</w:t>
      </w:r>
    </w:p>
    <w:p w:rsidR="00000000" w:rsidDel="00000000" w:rsidP="00000000" w:rsidRDefault="00000000" w:rsidRPr="00000000" w14:paraId="00000007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La información del programa Título I incluirá los siguientes elementos.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exámenes/pruebas que usamos y lo que significan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Cómo ayudaremos a que su hijo/a logre las metas académicas del estado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Actividades que usted puede hacer en casa para ayudar a su hijo/a tener éxito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Como usted puede participar en el Program del Título I en la escuela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Póliza de Involucro de Padres al Nivel Escolar y del Distrito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Compacto de Escuela y Padres 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c00000"/>
          <w:sz w:val="28"/>
          <w:szCs w:val="28"/>
          <w:rtl w:val="0"/>
        </w:rPr>
        <w:t xml:space="preserve">Puede acceder a nuestra presentación del Título I en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b w:val="1"/>
          <w:i w:val="1"/>
          <w:color w:val="c00000"/>
          <w:sz w:val="28"/>
          <w:szCs w:val="28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https://www.lindenwold.k12.nj.us/Page/80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b w:val="1"/>
          <w:i w:val="1"/>
          <w:color w:val="c00000"/>
          <w:sz w:val="28"/>
          <w:szCs w:val="28"/>
          <w:rtl w:val="0"/>
        </w:rPr>
        <w:t xml:space="preserve"> o escaneando a continuación</w:t>
      </w:r>
      <w:r w:rsidDel="00000000" w:rsidR="00000000" w:rsidRPr="00000000">
        <w:rPr>
          <w:b w:val="1"/>
          <w:i w:val="1"/>
          <w:color w:val="c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center"/>
        <w:rPr>
          <w:rFonts w:ascii="Algerian" w:cs="Algerian" w:eastAsia="Algerian" w:hAnsi="Algerian"/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</w:rPr>
        <w:drawing>
          <wp:inline distB="114300" distT="114300" distL="114300" distR="114300">
            <wp:extent cx="1524000" cy="1538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8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Engravers MT"/>
  <w:font w:name="Alger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denwold.k12.nj.us/Page/80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